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after="240" w:line="360" w:lineRule="auto"/>
        <w:ind w:firstLine="0"/>
        <w:jc w:val="center"/>
      </w:pPr>
      <w:r>
        <w:rPr>
          <w:rFonts w:ascii="Times New Roman" w:hAnsi="Times New Roman"/>
          <w:b/>
          <w:sz w:val="28"/>
        </w:rPr>
        <w:t>РЕФЕРАТ</w:t>
      </w:r>
    </w:p>
    <w:p>
      <w:pPr>
        <w:spacing w:before="0" w:after="480" w:line="360" w:lineRule="auto"/>
        <w:ind w:firstLine="0"/>
        <w:jc w:val="center"/>
      </w:pPr>
      <w:r>
        <w:rPr>
          <w:rFonts w:ascii="Times New Roman" w:hAnsi="Times New Roman"/>
          <w:b/>
          <w:sz w:val="28"/>
        </w:rPr>
        <w:t>Комунікація і стресостійкість</w:t>
      </w:r>
    </w:p>
    <w:p>
      <w:r>
        <w:br w:type="page"/>
      </w:r>
    </w:p>
    <w:p>
      <w:pPr>
        <w:pStyle w:val="Heading1"/>
      </w:pPr>
      <w:r>
        <w:t>Вступ</w:t>
      </w:r>
    </w:p>
    <w:p>
      <w:pPr>
        <w:ind w:firstLine="709"/>
        <w:jc w:val="both"/>
      </w:pPr>
      <w:r>
        <w:t>У працях про психологічну стійкість ефективне спілкування розглядається поряд з емоційним інтелектом, плануванням і гнучким ухваленням рішень [1]. Для освітніх закладів під час війни комунікація описується як засіб надання інформації та підтримки, необхідних для психологічного благополуччя учасників навчання [2]. Водночас результати опитування прикордонників Тайваню пов'язують робочі повідомлення в позаробочий час із вищим стресом і вигоранням [3]. Ці різні аспекти спілкування визначають спрямування реферату: зіставити підтримувальну взаємодію та комунікативні навантаження, розмежовуючи теоретичні пояснення, виміряні зв'язки і практичні рекомендації.</w:t>
      </w:r>
    </w:p>
    <w:p>
      <w:pPr>
        <w:ind w:firstLine="709"/>
        <w:jc w:val="both"/>
      </w:pPr>
      <w:r>
        <w:t>Метою роботи є теоретичний аналіз зв'язку комунікації та стресостійкості з урахуванням меж наявних досліджень. Для досягнення мети поставлено такі завдання:</w:t>
      </w:r>
    </w:p>
    <w:p>
      <w:pPr>
        <w:spacing w:after="0" w:before="0"/>
        <w:ind w:left="709" w:firstLine="0"/>
      </w:pPr>
      <w:r>
        <w:t>1. уточнити робочі поняття комунікації, стресостійкості та асертивності;</w:t>
      </w:r>
    </w:p>
    <w:p>
      <w:pPr>
        <w:spacing w:after="0" w:before="0"/>
        <w:ind w:left="709" w:firstLine="0"/>
      </w:pPr>
      <w:r>
        <w:t>2. розглянути пояснення цього зв'язку через когнітивно-поведінковий підхід, копінг та соціальну підтримку;</w:t>
      </w:r>
    </w:p>
    <w:p>
      <w:pPr>
        <w:spacing w:after="0" w:before="0"/>
        <w:ind w:left="709" w:firstLine="0"/>
      </w:pPr>
      <w:r>
        <w:t>3. зіставити результати досліджень і способи застосування асертивного спілкування, активного слухання та зворотного зв'язку;</w:t>
      </w:r>
    </w:p>
    <w:p>
      <w:pPr>
        <w:spacing w:after="0" w:before="0"/>
        <w:ind w:left="709" w:firstLine="0"/>
      </w:pPr>
      <w:r>
        <w:t>4. узагальнити практичні орієнтири й обмеження висновків про ефективність комунікативних стратегій.</w:t>
      </w:r>
    </w:p>
    <w:p>
      <w:pPr>
        <w:ind w:firstLine="709"/>
        <w:jc w:val="both"/>
      </w:pPr>
      <w:r>
        <w:t>Об'єктом дослідження є взаємозв'язок між комунікативними процесами та психологічною стійкістю особистості в умовах впливу стресогенних чинників.</w:t>
      </w:r>
    </w:p>
    <w:p>
      <w:pPr>
        <w:ind w:firstLine="709"/>
        <w:jc w:val="both"/>
      </w:pPr>
      <w:r>
        <w:t>Предметом дослідження є комунікативні стратегії та механізми їхнього впливу на рівень стресостійкості особистості в різних соціальних середовищах.</w:t>
      </w:r>
    </w:p>
    <w:p>
      <w:pPr>
        <w:ind w:firstLine="709"/>
        <w:jc w:val="both"/>
      </w:pPr>
      <w:r>
        <w:t>Для досягнення мети роботи використано комплекс загальнонаукових методів, зокрема теоретичний аналіз наукових джерел для вивчення ключових понять, а також методи синтезу, систематизації та узагальнення для структурування інформації та формулювання обґрунтованих висновків.</w:t>
      </w:r>
    </w:p>
    <w:p>
      <w:pPr>
        <w:keepLines/>
        <w:ind w:firstLine="709"/>
        <w:jc w:val="both"/>
      </w:pPr>
      <w:r>
        <w:t>Практичне спрямування реферату полягає в систематизації прийомів спілкування та критеріїв оцінювання їхніх результатів. Запропонований огляд призначений для обговорення психологічної підтримки й організації навчальних занять; він не є звітом про власний тренінг або перевірку його ефективності.</w:t>
      </w:r>
    </w:p>
    <w:p>
      <w:pPr>
        <w:pStyle w:val="Heading1"/>
      </w:pPr>
      <w:r>
        <w:t>Теоретичні аспекти взаємозв'язку комунікації та стресостійкості</w:t>
      </w:r>
    </w:p>
    <w:p>
      <w:pPr>
        <w:ind w:firstLine="709"/>
        <w:jc w:val="both"/>
      </w:pPr>
      <w:r>
        <w:t>У цьому рефераті комунікацію розглядаємо через обмін повідомленнями, висловлення потреб, слухання та надання зворотного зв'язку. Для аналізу стресостійкості зосередимося на подоланні напруження та збереженні або відновленні психологічного благополуччя. Таке робоче окреслення потрібне для зіставлення досліджень із різними показниками. Окреме поняття становить асертивність: у праці Г. Хомич вона пов'язана зі здатністю відкрито висловлювати думки, почуття й потреби, не порушуючи прав інших людей [4]. Авторка розрізняє асертивність як внутрішню рису та асертивну поведінку як її зовнішній прояв [4]. Отже, у подальшому аналізі окремо розглядатимемо особистісну рису, конкретні прийоми спілкування та результати їхнього застосування.</w:t>
      </w:r>
    </w:p>
    <w:p>
      <w:pPr>
        <w:ind w:firstLine="709"/>
        <w:jc w:val="both"/>
      </w:pPr>
      <w:r>
        <w:t>Емпіричні дані Г. Хомич показують зв'язок рівня асертивності з вибором копінг-стратегій та адаптацією [4]. У групі з високою асертивністю частка проблемно-орієнтованих стратегій становила 75%, тоді як у групі з низькою асертивністю – 30% [4]. Для останньої групи наведено 50% емоційно-орієнтованих стратегій і 20% стратегій уникнення [4]. Авторка також описує позитивний зв'язок асертивності з адаптацією [4]. Для нашого огляду важливо розмежувати виявлену асоціацію і висновок про ефект навчання: кореляція сама по собі не доводить, що тренування асертивного спілкування спричинило покращення адаптації.</w:t>
      </w:r>
    </w:p>
    <w:p>
      <w:pPr>
        <w:ind w:firstLine="709"/>
        <w:jc w:val="both"/>
      </w:pPr>
      <w:r>
        <w:t>Когнітивно-поведінкове пояснення розвитку асертивності акцентує увагу на самоспостереженні та раціональному мисленні [4]. В огляді Г. Хомич ірраціональні переконання про власні права або реакцію інших людей розглядаються як перешкоди для асертивної поведінки [4]. Цей підхід дозволяє поставити аналітичне питання: які переконання супроводжують висловлення незгоди або прохання про допомогу? У дослідженні професійної стресостійкості майбутніх менеджерів асертивна поведінка описується через впевнене висловлення позиції, повагу до колег і відмову від маніпулювання [5]. Тут зіставляються пояснення внутрішніх установок і опис зовнішньої поведінки; не слід ототожнювати теоретичну модель з експериментально доведеним механізмом зменшення стресу.</w:t>
      </w:r>
    </w:p>
    <w:p>
      <w:pPr>
        <w:ind w:firstLine="709"/>
        <w:jc w:val="both"/>
      </w:pPr>
      <w:r>
        <w:t>Соціальний вимір питання представлений у матеріалах про освіту та медичне спілкування [2; 6]. У закладах освіти під час війни підтримка, зрозуміла інформація й відкритий діалог розглядаються як засоби забезпечення психологічного благополуччя [2]. У дослідженні за участю 177 онкологічних пацієнтів задоволеність комунікацією з лікарем була пов'язана з рівнями тривоги, депресії, вразливості та сприйняттям здоров'я і якості життя [6]. Опитувальники цього дослідження охоплювали, зокрема, оцінювання спілкування за протоколом SPIKES [6]. Це приклад емпіричного аналізу спілкування та емоційного стану; його не слід подавати як звіт про проведений тренінг комунікації [6].</w:t>
      </w:r>
    </w:p>
    <w:p>
      <w:pPr>
        <w:ind w:firstLine="709"/>
        <w:jc w:val="both"/>
      </w:pPr>
      <w:r>
        <w:t>Автори дослідження онкологічних пацієнтів рекомендують удосконалювати повідомлення складних медичних новин і висловлюють припущення про користь кращих стратегій для пацієнтів та зменшення стресу й вигорання медичних працівників [6]. У нашому аналізі ця рекомендація відокремлюється від виміряних зв'язків у відповідях пацієнтів. Для висновку про зміну стану працівників потрібне окреме оцінювання саме цього результату. Таке розмежування запобігає підміні предмета доказування: задоволеність пацієнта, його емоційний стан і професійне вигорання лікаря не можна автоматично вважати одним показником.</w:t>
      </w:r>
    </w:p>
    <w:p>
      <w:pPr>
        <w:ind w:firstLine="709"/>
        <w:jc w:val="both"/>
      </w:pPr>
      <w:r>
        <w:t>Ще одне пояснення пропонує теорія копінг-стратегій Р. Лазаруса та С. Фолкман, розглянута в огляді Л. Ніколаєва й Л. Хаметової [7]. У цьому викладі проблемно-орієнтований копінг спрямований на пошук способів розв'язання проблеми, а емоційно-орієнтований – на зменшення емоційного напруження [7]. Вибір реагування пов'язується з оцінкою ситуації як контрольованої чи неконтрольованої; окреме значення надається соціальній підтримці [7]. Для реферату цей підхід є основою розмежування завдань спілкування: обговорення способу дії, висловлення переживань та звернення по підтримку. Це аналітична схема огляду, а не твердження про однакову ефективність усіх названих дій.</w:t>
      </w:r>
    </w:p>
    <w:p>
      <w:pPr>
        <w:ind w:firstLine="709"/>
        <w:jc w:val="both"/>
      </w:pPr>
      <w:r>
        <w:t>У теоретичному аналізі групової підтримки Л. Ніколаєв і Л. Хаметова виокремлюють активне слухання, проактивну підтримку та ненасильницьке спілкування [7]. Автори описують соціальну підтримку, обмін досвідом, моделювання поведінки й психологічну безпеку як механізми групової взаємодії [7]. Концепція ненасильницького спілкування в цьому огляді передбачає врахування почуттів і потреб та конструктивний обмін думками [7]. Для оцінювання цих положень розмежуємо теоретично описаний механізм, практичну рекомендацію та результат контрольованого дослідження. Теоретичне пояснення допомагає сформулювати питання для перевірки, але не замінює оцінювання змін стресу після конкретної програми.</w:t>
      </w:r>
    </w:p>
    <w:p>
      <w:pPr>
        <w:keepLines/>
        <w:ind w:firstLine="709"/>
        <w:jc w:val="both"/>
      </w:pPr>
      <w:r>
        <w:t>Приклад позаробочих повідомлень показує інший предмет аналізу: вимоги керівників через месенджери, стрес, вигорання й добробут у вибірці 467 прикордонників Тайваню [3]. Автори розрізняють копінг, орієнтований на наближення (approach-oriented), та копінг, орієнтований на уникнення (avoidance-oriented); для них описано відповідно посилення та пом'якшення негативних наслідків [3]. У цьому рефераті збережено оригінальні назви категорій. Без окремого обґрунтування їхньої відповідності не можна підставляти замість першої категорії асертивність або проблемно-орієнтований копінг з іншого дослідження. Таке обмеження є необхідною умовою коректного порівняння термінів і висновків.</w:t>
      </w:r>
    </w:p>
    <w:p>
      <w:pPr>
        <w:pStyle w:val="Heading1"/>
      </w:pPr>
      <w:r>
        <w:t>Комунікативні стратегії для підвищення стресостійкості: аналіз та приклади</w:t>
      </w:r>
    </w:p>
    <w:p>
      <w:pPr>
        <w:ind w:firstLine="709"/>
        <w:jc w:val="both"/>
      </w:pPr>
      <w:r>
        <w:t>Розглянемо застосування стратегій, починаючи з асертивного спілкування. У поперечному дослідженні 106 медсестер державних і приватних лікарень Пакистану, відібраних за доступністю, виявлено слабку позитивну кореляцію асертивності зі сприйнятим стресом: r = 0,19; p = 0,040 [8]. Асертивність пояснювала 3,7% варіації сприйнятого стресу [8]. Автори пов'язують обговорення результату з особливостями ієрархічного робочого середовища [8]. Проте кореляційний результат не дозволяє стверджувати, що саме асертивність спричинила стрес, або вважати роль ієрархії окремо доведеним причинним механізмом. У практичному аналізі слід залишати відкритим питання про напрямок зв'язку та інші можливі пояснення.</w:t>
      </w:r>
    </w:p>
    <w:p>
      <w:pPr>
        <w:ind w:firstLine="709"/>
        <w:jc w:val="both"/>
      </w:pPr>
      <w:r>
        <w:t>Автори пакистанського дослідження рекомендують поєднувати навчання асертивності з управлінням стресом та інституційною підтримкою [8]. У роботі про майбутніх менеджерів запропоновано програму, що охоплює навчальні заняття, волонтерську діяльність і тренінг асертивності [5]. Серед її орієнтирів – чітке висловлення бажань, неагресивне відстоювання позиції та конструктивна взаємодія з колегами [5]. Ці рекомендації доцільно порівнювати за цілями й змістом. Не можна робити висновок, що якась програма ефективніша, лише зіставивши різні професійні групи без спільного способу вимірювання результату.</w:t>
      </w:r>
    </w:p>
    <w:p>
      <w:pPr>
        <w:ind w:firstLine="709"/>
        <w:jc w:val="both"/>
      </w:pPr>
      <w:r>
        <w:t>У тайванському опитуванні робочі звернення керівників у позаробочий час були пов'язані з підвищеним робочим стресом, вигоранням і погіршенням добробуту [3]. Автори також підкреслюють значення соціальної підтримки й командної взаємодії для зменшення негативних наслідків [3]. Для обговорення організації комунікації цей приклад допомагає сформулювати питання про час звернень, очікування щодо відповідей та доступність підтримки. Це питання для практичного аналізу, а не перевірена в цьому рефераті програма втручання. Висновок про користь певного режиму повідомлень потребував би оцінювання саме такого режиму, а не лише загальної задоволеності командною взаємодією.</w:t>
      </w:r>
    </w:p>
    <w:p>
      <w:pPr>
        <w:ind w:firstLine="709"/>
        <w:jc w:val="both"/>
      </w:pPr>
      <w:r>
        <w:t>У матеріалі А. Завгородньої метод «я-повідомлення» описано як висловлення власних почуттів, думок і потреб без звинувачення співрозмовника [2]. До його принципів віднесено відповідальність за слова, активне слухання, визнання емоцій та використання форми «я» замість звинувачувального «ти» [2]. Для взаємодії викладача й учня авторка пропонує обговорювати конкретні труднощі виконання завдання та потребу в поясненні або підтримці [2]. У практичному розборі такого діалогу варто окремо позначити опис ситуації, власне переживання і прохання. Це спосіб аналізу формулювання; його не слід подавати як власний експеримент із доведеним зменшенням тривоги.</w:t>
      </w:r>
    </w:p>
    <w:p>
      <w:pPr>
        <w:ind w:firstLine="709"/>
        <w:jc w:val="both"/>
      </w:pPr>
      <w:r>
        <w:t>Для групової психологічної підтримки рекомендовано емпатійне слухання, заохочення відкритого обговорення, повагу до особистих меж і розвиток саморефлексії [7]. Структурований зворотний зв'язок у цьому підході має допомагати усвідомленню досягнень та напрямів розвитку; серед запропонованих форматів наведено послідовність похвали, обговорення й підтримки [7]. Автори також наголошують на конфіденційності та можливості висловлювати почуття без осуду [7]. Отже, у плані навчального заняття можна окремо передбачити обговорення правил слухання, способу зворотного зв'язку й меж участі. Такий план є практичним орієнтиром, а оцінювання його ефективності має становити окреме завдання.</w:t>
      </w:r>
    </w:p>
    <w:p>
      <w:pPr>
        <w:ind w:firstLine="709"/>
        <w:jc w:val="both"/>
      </w:pPr>
      <w:r>
        <w:t>У медичному спілкуванні результати опитування 177 онкологічних пацієнтів стосуються, зокрема, задоволеності розмовою з лікарем та її зв'язку з емоційними показниками [6]. Для обговорення комунікативних стратегій це дає підставу приділити увагу оцінюванню спілкування самим пацієнтом. Водночас висновок про задоволеність не варто автоматично переносити на стресостійкість медичного працівника. Порівнюючи цей приклад з освітнім діалогом або груповою підтримкою, у рефераті пропонуємо три питання: хто є учасником взаємодії, яку комунікативну дію розглянуто і який результат оцінюється? Ці питання структурують аналіз без обіцянки універсального ефекту певної техніки.</w:t>
      </w:r>
    </w:p>
    <w:p>
      <w:pPr>
        <w:keepLines/>
        <w:ind w:firstLine="709"/>
        <w:jc w:val="both"/>
      </w:pPr>
      <w:r>
        <w:t>Показовим є також дослідження програми навчання асертивності серед 60 медсестер у лікарнях міста Пуна: по 30 осіб у контрольній та експериментальній групах [9]. Автори повідомляють про статистично значущі зміни комунікативних навичок та асертивності й позитивний вплив навчання на самооцінку [9]. Ці результати стосуються названих показників; покращення навичок не є тотожним доведеному зменшенню стресу [9]. Для підсумкової оцінки стратегій у цьому рефераті застосуємо такий критерій: кожен висновок має відповідати реально виміряному результату, а рекомендації щодо впровадження слід відокремлювати від повідомлень про перевірену ефективність. Це дозволяє використати практичні напрацювання без розширення їхніх доказових меж.</w:t>
      </w:r>
    </w:p>
    <w:p>
      <w:pPr>
        <w:pStyle w:val="Heading1"/>
      </w:pPr>
      <w:r>
        <w:t>Висновки</w:t>
      </w:r>
    </w:p>
    <w:p>
      <w:pPr>
        <w:ind w:firstLine="709"/>
        <w:jc w:val="both"/>
      </w:pPr>
      <w:r>
        <w:t>Теоретичний аналіз дозволив систематизувати зв'язки між комунікативними діями, психологічними ресурсами та показниками стресу. У роботі окреслено поняття комунікації й стресостійкості, відокремлено асертивність від конкретної асертивної поведінки та застосовано розмежування теоретичних пояснень, емпіричних результатів і практичних рекомендацій.</w:t>
      </w:r>
    </w:p>
    <w:p>
      <w:pPr>
        <w:ind w:firstLine="709"/>
        <w:jc w:val="both"/>
      </w:pPr>
      <w:r>
        <w:t>Когнітивно-поведінкове пояснення звертає увагу на переконання про власні права й реакції інших, а виклад теорії копінгу – на оцінювання ситуації та вибір способу реагування [4; 7]. Активне слухання, проактивна підтримка, ненасильницьке спілкування й конструктивний зворотний зв'язок розглядаються як складові групової психологічної підтримки [7]. Практичним підсумком огляду є пропозиція обговорювати ці прийоми разом із правилами висловлення потреб, особистими межами й критеріями оцінювання результату.</w:t>
      </w:r>
    </w:p>
    <w:p>
      <w:pPr>
        <w:ind w:firstLine="709"/>
        <w:jc w:val="both"/>
      </w:pPr>
      <w:r>
        <w:t>Емпіричні приклади не дають підстав для універсальної формули «більше асертивності – менше стресу»: дослідження медсестер Пакистану виявило слабку позитивну кореляцію цих показників [8]. У дослідженні медсестер Пуни після навчання описано статистично значущі зміни навичок та асертивності й позитивний вплив на самооцінку [9]. Порівняння цих результатів потребує розмежування дизайнів, учасників і вимірюваних змін. Так само категорію approach-oriented coping у дослідженні позаробочих повідомлень не слід без додаткового обґрунтування ототожнювати з асертивністю або проблемно-орієнтованим копінгом [3].</w:t>
      </w:r>
    </w:p>
    <w:p>
      <w:pPr>
        <w:keepLines/>
        <w:ind w:firstLine="709"/>
        <w:jc w:val="both"/>
      </w:pPr>
      <w:r>
        <w:t>Отже, для практичного використання огляду пропонуємо визначати конкретну мету комунікативної роботи, обирати відповідний спосіб взаємодії та заздалегідь уточнювати, який результат потрібно оцінити. Кореляції не доводять причинності, рекомендації не замінюють перевірки ефективності, а різні показники не є взаємозамінними. Подальше дослідження доцільно спрямувати на оцінювання конкретних комунікативних програм із чітким розмежуванням змін навичок, емоційного стану та стресостійкості.</w:t>
      </w:r>
    </w:p>
    <w:p>
      <w:pPr>
        <w:pStyle w:val="Heading1"/>
      </w:pPr>
      <w:r>
        <w:t>Список використаних джерел</w:t>
      </w:r>
    </w:p>
    <w:p>
      <w:pPr>
        <w:keepLines/>
        <w:spacing w:after="0" w:before="0"/>
        <w:ind w:left="0" w:firstLine="0"/>
        <w:jc w:val="left"/>
        <w:wordWrap w:val="0"/>
      </w:pPr>
      <w:r>
        <w:t xml:space="preserve">1. Жук Н. І. Стресостійкість особистості як фактор впливу в управлінні персоналом. 2023. URL: </w:t>
      </w:r>
      <w:hyperlink r:id="rId11">
        <w:r>
          <w:rPr>
            <w:rStyle w:val="Hyperlink"/>
            <w:rFonts w:ascii="Times New Roman" w:hAnsi="Times New Roman" w:cs="Times New Roman"/>
            <w:sz w:val="28"/>
            <w:szCs w:val="28"/>
            <w:color w:val="0563C1"/>
            <w:u w:val="single"/>
          </w:rPr>
          <w:t xml:space="preserve">https://elartu.tntu.edu.ua/​bitstream/​lib/​43371/​7/​%D0%96%D0%A3%D0%9A​_%D0%9D​_%D0%BC%D0%B0%D0%B3%D1%96%D1%81%D1%82%D0%B5%D1%80%D1%81%D1%8C%D0%BA%D0%B0%20%D1%80%D0%BE%D0%B1%D0%BE%D1%82%D0%B0​-2​.pdf</w:t>
        </w:r>
      </w:hyperlink>
      <w:r>
        <w:t xml:space="preserve"> (дата звернення: 13.10.2026).</w:t>
      </w:r>
    </w:p>
    <w:p>
      <w:pPr>
        <w:keepLines/>
        <w:spacing w:after="0" w:before="0"/>
        <w:ind w:left="0" w:firstLine="0"/>
        <w:jc w:val="left"/>
        <w:wordWrap w:val="0"/>
      </w:pPr>
      <w:r>
        <w:t xml:space="preserve">2. Завгородня А. І. Метод «я-повідомлення» як спосіб ефективної комунікації в закладах професійно-технічної освіти під час війни». </w:t>
      </w:r>
      <w:r>
        <w:rPr>
          <w:i/>
        </w:rPr>
        <w:t>Психолого-педагогічні чинники формування професійної компетентності кваліфікованих робітників в умовах воєнного стану: матеріали регіонального науково-практичного семінару (26 квітня 2024 року)</w:t>
      </w:r>
      <w:r>
        <w:t xml:space="preserve">. 2024. С. 36–45. URL: </w:t>
      </w:r>
      <w:hyperlink r:id="rId12">
        <w:r>
          <w:rPr>
            <w:rStyle w:val="Hyperlink"/>
            <w:rFonts w:ascii="Times New Roman" w:hAnsi="Times New Roman" w:cs="Times New Roman"/>
            <w:sz w:val="28"/>
            <w:szCs w:val="28"/>
            <w:color w:val="0563C1"/>
            <w:u w:val="single"/>
          </w:rPr>
          <w:t xml:space="preserve">https://lib.iitta.gov.ua/​id/​eprint/​741661/​1/​%D0%97%D0%B1%D1%96%D1%80%D0%BD%D0%B8%D0%BA​_%D1%80%D0%B5%D0%B3%D1%96%D0%BE%D0%BD%D0%B0%D0%BB%D1%8C%D0%BD%D0%B8%D0%B9%20%D1%81%D0%B5%D0%BC%D1%96%D0%BD%D0%B0%D1%80%2026​.04​.2024​.pdf#page=37</w:t>
        </w:r>
      </w:hyperlink>
      <w:r>
        <w:t xml:space="preserve"> (дата звернення: 13.10.2026).</w:t>
      </w:r>
    </w:p>
    <w:p>
      <w:pPr>
        <w:keepLines/>
        <w:spacing w:after="0" w:before="0"/>
        <w:ind w:left="0" w:firstLine="0"/>
        <w:jc w:val="left"/>
        <w:wordWrap w:val="0"/>
      </w:pPr>
      <w:r>
        <w:t xml:space="preserve">3. The impact of after-hours messaging on job stress and burnout among Taiwan’s border police: the roles of social support and coping strategies / N. T. Chiang, R. H. Kao, H. Y. Ma, C. C. Cho. </w:t>
      </w:r>
      <w:r>
        <w:rPr>
          <w:i/>
        </w:rPr>
        <w:t>Humanities and Social Sciences Communications</w:t>
      </w:r>
      <w:r>
        <w:t xml:space="preserve">. 2025. Т. 12. № 1. Стаття 587. URL: </w:t>
      </w:r>
      <w:hyperlink r:id="rId13">
        <w:r>
          <w:rPr>
            <w:rStyle w:val="Hyperlink"/>
            <w:rFonts w:ascii="Times New Roman" w:hAnsi="Times New Roman" w:cs="Times New Roman"/>
            <w:sz w:val="28"/>
            <w:szCs w:val="28"/>
            <w:color w:val="0563C1"/>
            <w:u w:val="single"/>
          </w:rPr>
          <w:t xml:space="preserve">https://www.nature.com/articles/s41599-025-04827-7.pdf</w:t>
        </w:r>
      </w:hyperlink>
      <w:r>
        <w:t xml:space="preserve"> (дата звернення: 13.10.2026).</w:t>
      </w:r>
    </w:p>
    <w:p>
      <w:pPr>
        <w:keepLines/>
        <w:spacing w:after="0" w:before="0"/>
        <w:ind w:left="0" w:firstLine="0"/>
        <w:jc w:val="left"/>
        <w:wordWrap w:val="0"/>
      </w:pPr>
      <w:r>
        <w:t xml:space="preserve">4. Галина Хомич. Асертивність у структурі особистісних ресурсів подолання життєвих криз у період дорослості. </w:t>
      </w:r>
      <w:r>
        <w:rPr>
          <w:i/>
        </w:rPr>
        <w:t>Вісник Національного університету оборони України</w:t>
      </w:r>
      <w:r>
        <w:t xml:space="preserve">. 2025. С. 202–209. URL: </w:t>
      </w:r>
      <w:hyperlink r:id="rId14">
        <w:r>
          <w:rPr>
            <w:rStyle w:val="Hyperlink"/>
            <w:rFonts w:ascii="Times New Roman" w:hAnsi="Times New Roman" w:cs="Times New Roman"/>
            <w:sz w:val="28"/>
            <w:szCs w:val="28"/>
            <w:color w:val="0563C1"/>
            <w:u w:val="single"/>
          </w:rPr>
          <w:t xml:space="preserve">https://visnyk.nuou.org.ua/article/download/324923/322050</w:t>
        </w:r>
      </w:hyperlink>
      <w:r>
        <w:t xml:space="preserve"> (дата звернення: 13.10.2026).</w:t>
      </w:r>
    </w:p>
    <w:p>
      <w:pPr>
        <w:keepLines/>
        <w:spacing w:after="0" w:before="0"/>
        <w:ind w:left="0" w:firstLine="0"/>
        <w:jc w:val="left"/>
        <w:wordWrap w:val="0"/>
      </w:pPr>
      <w:r>
        <w:t xml:space="preserve">5. Мешко Г. М., Мешко О. І., Фіткайло М. І. Формування асертивної поведінки як ресурсу професійної стресостійкості майбутніх менеджерів. </w:t>
      </w:r>
      <w:r>
        <w:rPr>
          <w:i/>
        </w:rPr>
        <w:t>Сучасні аспекти модернізації науки: стан, проблеми, тенденції розвитку: матеріали XLVIII Міжнародної науково-практичної конференції (07 вересня 2024 року, м. Констанца, Румунія)</w:t>
      </w:r>
      <w:r>
        <w:t xml:space="preserve">. 2024. С. 163–166. URL: </w:t>
      </w:r>
      <w:hyperlink r:id="rId15">
        <w:r>
          <w:rPr>
            <w:rStyle w:val="Hyperlink"/>
            <w:rFonts w:ascii="Times New Roman" w:hAnsi="Times New Roman" w:cs="Times New Roman"/>
            <w:sz w:val="28"/>
            <w:szCs w:val="28"/>
            <w:color w:val="0563C1"/>
            <w:u w:val="single"/>
          </w:rPr>
          <w:t xml:space="preserve">http://dspace.tnpu.edu.ua/​bitstream/​123456789/​35096/​1/​Meshko%20konf​_Konstantsa​.pdf</w:t>
        </w:r>
      </w:hyperlink>
      <w:r>
        <w:t xml:space="preserve"> (дата звернення: 13.10.2026).</w:t>
      </w:r>
    </w:p>
    <w:p>
      <w:pPr>
        <w:keepLines/>
        <w:spacing w:after="0" w:before="0"/>
        <w:ind w:left="0" w:firstLine="0"/>
        <w:jc w:val="left"/>
        <w:wordWrap w:val="0"/>
      </w:pPr>
      <w:r>
        <w:t xml:space="preserve">6. Differences in the Communication of Cancer Diagnoses by Different Health Professionals and the Impact of Oncologist Communication on Patients’ Emotions / E. Ruiz Sancho та ін. </w:t>
      </w:r>
      <w:r>
        <w:rPr>
          <w:i/>
        </w:rPr>
        <w:t>Cancers</w:t>
      </w:r>
      <w:r>
        <w:t xml:space="preserve">. 2024. Т. 16. № 13. Стаття 2444. URL: </w:t>
      </w:r>
      <w:hyperlink r:id="rId16">
        <w:r>
          <w:rPr>
            <w:rStyle w:val="Hyperlink"/>
            <w:rFonts w:ascii="Times New Roman" w:hAnsi="Times New Roman" w:cs="Times New Roman"/>
            <w:sz w:val="28"/>
            <w:szCs w:val="28"/>
            <w:color w:val="0563C1"/>
            <w:u w:val="single"/>
          </w:rPr>
          <w:t xml:space="preserve">https://repositorio.uam.es/​server/​api/​core/​bitstreams/​7e606c2a-2f28-4bbf-9a6e-377913e4e0cd/​content</w:t>
        </w:r>
      </w:hyperlink>
      <w:r>
        <w:t xml:space="preserve"> (дата звернення: 13.10.2026).</w:t>
      </w:r>
    </w:p>
    <w:p>
      <w:pPr>
        <w:keepLines/>
        <w:spacing w:after="0" w:before="0"/>
        <w:ind w:left="0" w:firstLine="0"/>
        <w:jc w:val="left"/>
        <w:wordWrap w:val="0"/>
      </w:pPr>
      <w:r>
        <w:t xml:space="preserve">7. Ніколаєв Л. О., Хаметова Л. М. Комунікативні стратегії підвищення стресостійкості в контексті групової психологічної підтримки. </w:t>
      </w:r>
      <w:r>
        <w:rPr>
          <w:i/>
        </w:rPr>
        <w:t>Вчені записки ТНУ імені В. І. Вернадського. Серія: Психологія</w:t>
      </w:r>
      <w:r>
        <w:t xml:space="preserve">. 2024. Т. 35 (74). № 6. С. 54–59. URL: </w:t>
      </w:r>
      <w:hyperlink r:id="rId17">
        <w:r>
          <w:rPr>
            <w:rStyle w:val="Hyperlink"/>
            <w:rFonts w:ascii="Times New Roman" w:hAnsi="Times New Roman" w:cs="Times New Roman"/>
            <w:sz w:val="28"/>
            <w:szCs w:val="28"/>
            <w:color w:val="0563C1"/>
            <w:u w:val="single"/>
          </w:rPr>
          <w:t xml:space="preserve">https://psych.vernadskyjournals.in.ua/journal/6_2024/11.pdf</w:t>
        </w:r>
      </w:hyperlink>
      <w:r>
        <w:t xml:space="preserve"> (дата звернення: 13.10.2026).</w:t>
      </w:r>
    </w:p>
    <w:p>
      <w:pPr>
        <w:keepLines/>
        <w:spacing w:after="0" w:before="0"/>
        <w:ind w:left="0" w:firstLine="0"/>
        <w:jc w:val="left"/>
        <w:wordWrap w:val="0"/>
      </w:pPr>
      <w:r>
        <w:t xml:space="preserve">8. Relationship Between Assertiveness and Stress Levels among Nurses in Pakistan: A Cross-Sectional Study / S. Arif, A. A. Ali, N. Javed, I. Khan. </w:t>
      </w:r>
      <w:r>
        <w:rPr>
          <w:i/>
        </w:rPr>
        <w:t>NURSEARCHER (Journal of Nursing &amp; Midwifery Sciences)</w:t>
      </w:r>
      <w:r>
        <w:t xml:space="preserve">. 2026. С. 24–30. URL: </w:t>
      </w:r>
      <w:hyperlink r:id="rId18">
        <w:r>
          <w:rPr>
            <w:rStyle w:val="Hyperlink"/>
            <w:rFonts w:ascii="Times New Roman" w:hAnsi="Times New Roman" w:cs="Times New Roman"/>
            <w:sz w:val="28"/>
            <w:szCs w:val="28"/>
            <w:color w:val="0563C1"/>
            <w:u w:val="single"/>
          </w:rPr>
          <w:t xml:space="preserve">https://www.nursearcher.com/​index.php/​nrs/​article/​download/​192/​145</w:t>
        </w:r>
      </w:hyperlink>
      <w:r>
        <w:t xml:space="preserve"> (дата звернення: 13.10.2026).</w:t>
      </w:r>
    </w:p>
    <w:p>
      <w:pPr>
        <w:keepLines/>
        <w:spacing w:after="0" w:before="0"/>
        <w:ind w:left="0" w:firstLine="0"/>
        <w:jc w:val="left"/>
        <w:wordWrap w:val="0"/>
      </w:pPr>
      <w:r>
        <w:t xml:space="preserve">9. Kanade A. The effect of assertiveness training program on nurses. </w:t>
      </w:r>
      <w:r>
        <w:rPr>
          <w:i/>
        </w:rPr>
        <w:t>Indian Journal of Psychiatric Nursing</w:t>
      </w:r>
      <w:r>
        <w:t xml:space="preserve">. 2018. Т. 15. № 2. С. 19–23. URL: </w:t>
      </w:r>
      <w:hyperlink r:id="rId19">
        <w:r>
          <w:rPr>
            <w:rStyle w:val="Hyperlink"/>
            <w:rFonts w:ascii="Times New Roman" w:hAnsi="Times New Roman" w:cs="Times New Roman"/>
            <w:sz w:val="28"/>
            <w:szCs w:val="28"/>
            <w:color w:val="0563C1"/>
            <w:u w:val="single"/>
          </w:rPr>
          <w:t xml:space="preserve">https://www.ovid.com/​jnls/​iopn/​fulltext/​10.4103/​ijpn​.ijpn​_15​_19~the​-effect​-of​-assertiveness​-training​-program​-on​-nurses</w:t>
        </w:r>
      </w:hyperlink>
      <w:r>
        <w:t xml:space="preserve"> (дата звернення: 13.10.2026).</w:t>
      </w:r>
    </w:p>
    <w:sectPr>
      <w:footerReference w:type="default" r:id="rId9"/>
      <w:footerReference w:type="first" r:id="rId10"/>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20"/>
      </w:rPr>
      <w:fldChar w:fldCharType="begin"/>
      <w:instrText xml:space="preserve">PAGE</w:instrText>
      <w:fldChar w:fldCharType="separate"/>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ayout w:type="fixed"/>
      <w:tblLook w:firstColumn="1" w:firstRow="1" w:lastColumn="0" w:lastRow="0" w:noHBand="0" w:noVBand="1" w:val="04A0"/>
    </w:tblPr>
    <w:tblGrid>
      <w:gridCol w:w="4819"/>
      <w:gridCol w:w="4819"/>
    </w:tblGrid>
    <w:tr>
      <w:tc>
        <w:tcPr>
          <w:tcW w:type="dxa" w:w="4819"/>
        </w:tcPr>
        <w:p>
          <w:pPr>
            <w:spacing w:before="0" w:after="40" w:line="360" w:lineRule="auto"/>
            <w:ind w:firstLine="0"/>
            <w:jc w:val="left"/>
          </w:pPr>
          <w:r/>
          <w:r>
            <w:rPr>
              <w:rFonts w:ascii="Times New Roman" w:hAnsi="Times New Roman"/>
              <w:sz w:val="28"/>
            </w:rPr>
            <w:t>Студент(ка)</w:t>
          </w:r>
        </w:p>
        <w:p>
          <w:pPr>
            <w:spacing w:before="0" w:after="40" w:line="360" w:lineRule="auto"/>
            <w:ind w:firstLine="0"/>
            <w:jc w:val="left"/>
          </w:pPr>
          <w:r>
            <w:rPr>
              <w:rFonts w:ascii="Times New Roman" w:hAnsi="Times New Roman"/>
              <w:sz w:val="28"/>
            </w:rPr>
            <w:t>групи ________</w:t>
          </w:r>
        </w:p>
        <w:p>
          <w:pPr>
            <w:spacing w:before="0" w:after="40" w:line="360" w:lineRule="auto"/>
            <w:ind w:firstLine="0"/>
            <w:jc w:val="left"/>
          </w:pPr>
          <w:r>
            <w:rPr>
              <w:rFonts w:ascii="Times New Roman" w:hAnsi="Times New Roman"/>
              <w:sz w:val="28"/>
            </w:rPr>
            <w:t>________________________</w:t>
          </w:r>
        </w:p>
      </w:tc>
      <w:tc>
        <w:tcPr>
          <w:tcW w:type="dxa" w:w="4819"/>
        </w:tcPr>
        <w:p>
          <w:pPr>
            <w:spacing w:before="0" w:after="40" w:line="360" w:lineRule="auto"/>
            <w:ind w:firstLine="0"/>
            <w:jc w:val="left"/>
          </w:pPr>
          <w:r/>
          <w:r>
            <w:rPr>
              <w:rFonts w:ascii="Times New Roman" w:hAnsi="Times New Roman"/>
              <w:sz w:val="28"/>
            </w:rPr>
            <w:t>Керівник</w:t>
          </w:r>
        </w:p>
        <w:p>
          <w:pPr>
            <w:spacing w:before="0" w:after="40" w:line="360" w:lineRule="auto"/>
            <w:ind w:firstLine="0"/>
            <w:jc w:val="left"/>
          </w:pPr>
          <w:r>
            <w:rPr>
              <w:rFonts w:ascii="Times New Roman" w:hAnsi="Times New Roman"/>
              <w:sz w:val="28"/>
            </w:rPr>
            <w:t>________  (підпис)</w:t>
          </w:r>
        </w:p>
        <w:p>
          <w:pPr>
            <w:spacing w:before="0" w:after="40" w:line="360" w:lineRule="auto"/>
            <w:ind w:firstLine="0"/>
            <w:jc w:val="left"/>
          </w:pPr>
          <w:r>
            <w:rPr>
              <w:rFonts w:ascii="Times New Roman" w:hAnsi="Times New Roman"/>
              <w:sz w:val="28"/>
            </w:rPr>
            <w:t>________________________</w:t>
          </w:r>
        </w:p>
      </w:tc>
    </w:tr>
  </w:tbl>
  <w:p>
    <w:pPr>
      <w:spacing w:before="600" w:after="964" w:line="360" w:lineRule="auto"/>
      <w:ind w:firstLine="0"/>
      <w:jc w:val="center"/>
    </w:pPr>
    <w:r>
      <w:rPr>
        <w:rFonts w:ascii="Times New Roman" w:hAnsi="Times New Roman"/>
        <w:sz w:val="28"/>
      </w:rPr>
      <w:t>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60" w:lineRule="auto" w:after="0" w:before="0"/>
      <w:ind w:firstLine="709"/>
      <w:jc w:val="both"/>
    </w:pPr>
    <w:rPr>
      <w:rFonts w:ascii="Times New Roman" w:hAnsi="Times New Roman" w:eastAsia="Times New Roman" w:cs="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240" w:line="360" w:lineRule="auto"/>
      <w:ind w:left="0" w:firstLine="0"/>
      <w:jc w:val="center"/>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240" w:line="360" w:lineRule="auto"/>
      <w:ind w:left="0" w:firstLine="0"/>
      <w:jc w:val="center"/>
      <w:outlineLvl w:val="1"/>
    </w:pPr>
    <w:rPr>
      <w:rFonts w:ascii="Times New Roman" w:hAnsi="Times New Roman" w:eastAsia="Times New Roman" w:cs="Times New Roman"/>
      <w:b/>
      <w:bCs/>
      <w:color w:val="000000"/>
      <w:sz w:val="28"/>
      <w:szCs w:val="28"/>
    </w:rPr>
  </w:style>
  <w:style w:type="paragraph" w:styleId="Heading3">
    <w:name w:val="heading 3"/>
    <w:basedOn w:val="Normal"/>
    <w:next w:val="Normal"/>
    <w:link w:val="Heading3Char"/>
    <w:uiPriority w:val="9"/>
    <w:unhideWhenUsed/>
    <w:qFormat/>
    <w:rsid w:val="00FC693F"/>
    <w:pPr>
      <w:keepNext/>
      <w:keepLines/>
      <w:spacing w:before="240" w:after="240" w:line="360" w:lineRule="auto"/>
      <w:ind w:left="0" w:firstLine="0"/>
      <w:jc w:val="center"/>
      <w:outlineLvl w:val="2"/>
    </w:pPr>
    <w:rPr>
      <w:rFonts w:ascii="Times New Roman" w:hAnsi="Times New Roman" w:eastAsia="Times New Roman" w:cs="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yperlink" Target="https://elartu.tntu.edu.ua/bitstream/lib/43371/7/%D0%96%D0%A3%D0%9A_%D0%9D_%D0%BC%D0%B0%D0%B3%D1%96%D1%81%D1%82%D0%B5%D1%80%D1%81%D1%8C%D0%BA%D0%B0%20%D1%80%D0%BE%D0%B1%D0%BE%D1%82%D0%B0-2.pdf" TargetMode="External"/><Relationship Id="rId12" Type="http://schemas.openxmlformats.org/officeDocument/2006/relationships/hyperlink" Target="https://lib.iitta.gov.ua/id/eprint/741661/1/%D0%97%D0%B1%D1%96%D1%80%D0%BD%D0%B8%D0%BA_%D1%80%D0%B5%D0%B3%D1%96%D0%BE%D0%BD%D0%B0%D0%BB%D1%8C%D0%BD%D0%B8%D0%B9%20%D1%81%D0%B5%D0%BC%D1%96%D0%BD%D0%B0%D1%80%2026.04.2024.pdf#page=37" TargetMode="External"/><Relationship Id="rId13" Type="http://schemas.openxmlformats.org/officeDocument/2006/relationships/hyperlink" Target="https://www.nature.com/articles/s41599-025-04827-7.pdf" TargetMode="External"/><Relationship Id="rId14" Type="http://schemas.openxmlformats.org/officeDocument/2006/relationships/hyperlink" Target="https://visnyk.nuou.org.ua/article/download/324923/322050" TargetMode="External"/><Relationship Id="rId15" Type="http://schemas.openxmlformats.org/officeDocument/2006/relationships/hyperlink" Target="http://dspace.tnpu.edu.ua/bitstream/123456789/35096/1/Meshko%20konf_Konstantsa.pdf" TargetMode="External"/><Relationship Id="rId16" Type="http://schemas.openxmlformats.org/officeDocument/2006/relationships/hyperlink" Target="https://repositorio.uam.es/server/api/core/bitstreams/7e606c2a-2f28-4bbf-9a6e-377913e4e0cd/content" TargetMode="External"/><Relationship Id="rId17" Type="http://schemas.openxmlformats.org/officeDocument/2006/relationships/hyperlink" Target="https://psych.vernadskyjournals.in.ua/journal/6_2024/11.pdf" TargetMode="External"/><Relationship Id="rId18" Type="http://schemas.openxmlformats.org/officeDocument/2006/relationships/hyperlink" Target="https://www.nursearcher.com/index.php/nrs/article/download/192/145" TargetMode="External"/><Relationship Id="rId19" Type="http://schemas.openxmlformats.org/officeDocument/2006/relationships/hyperlink" Target="https://www.ovid.com/jnls/iopn/fulltext/10.4103/ijpn.ijpn_15_19~the-effect-of-assertiveness-training-program-on-nur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